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7" w:rsidRPr="00D73258" w:rsidRDefault="00D743F7" w:rsidP="00D73258">
      <w:pPr>
        <w:autoSpaceDE w:val="0"/>
        <w:autoSpaceDN w:val="0"/>
        <w:bidi/>
        <w:adjustRightInd w:val="0"/>
        <w:spacing w:after="0"/>
        <w:jc w:val="both"/>
        <w:rPr>
          <w:b/>
          <w:sz w:val="28"/>
          <w:szCs w:val="28"/>
          <w:rtl/>
          <w:lang w:val="fr-FR"/>
        </w:rPr>
      </w:pPr>
    </w:p>
    <w:p w:rsidR="00D73258" w:rsidRDefault="00D73258" w:rsidP="00D73258">
      <w:pPr>
        <w:autoSpaceDE w:val="0"/>
        <w:autoSpaceDN w:val="0"/>
        <w:bidi/>
        <w:adjustRightInd w:val="0"/>
        <w:spacing w:after="0"/>
        <w:jc w:val="center"/>
        <w:rPr>
          <w:bCs/>
          <w:sz w:val="28"/>
          <w:szCs w:val="28"/>
          <w:lang w:val="fr-FR" w:bidi="ar-MA"/>
        </w:rPr>
      </w:pPr>
      <w:r>
        <w:rPr>
          <w:rFonts w:hint="cs"/>
          <w:bCs/>
          <w:sz w:val="28"/>
          <w:szCs w:val="28"/>
          <w:rtl/>
          <w:lang w:val="fr-FR" w:bidi="ar-MA"/>
        </w:rPr>
        <w:t>بلاغ صحفي</w:t>
      </w:r>
    </w:p>
    <w:p w:rsidR="00D743F7" w:rsidRPr="00D73258" w:rsidRDefault="00D743F7" w:rsidP="00D73258">
      <w:pPr>
        <w:autoSpaceDE w:val="0"/>
        <w:autoSpaceDN w:val="0"/>
        <w:bidi/>
        <w:adjustRightInd w:val="0"/>
        <w:spacing w:after="0"/>
        <w:jc w:val="center"/>
        <w:rPr>
          <w:bCs/>
          <w:sz w:val="28"/>
          <w:szCs w:val="28"/>
          <w:rtl/>
          <w:lang w:val="fr-FR"/>
        </w:rPr>
      </w:pPr>
      <w:r w:rsidRPr="00D73258">
        <w:rPr>
          <w:rFonts w:hint="cs"/>
          <w:bCs/>
          <w:sz w:val="28"/>
          <w:szCs w:val="28"/>
          <w:rtl/>
          <w:lang w:val="fr-FR"/>
        </w:rPr>
        <w:t>تقديم الدراسات حول مشروع "بيوند إيريغولاريتي"</w:t>
      </w:r>
    </w:p>
    <w:p w:rsidR="0086678A" w:rsidRPr="00D73258" w:rsidRDefault="0086678A" w:rsidP="00D73258">
      <w:pPr>
        <w:autoSpaceDE w:val="0"/>
        <w:autoSpaceDN w:val="0"/>
        <w:bidi/>
        <w:adjustRightInd w:val="0"/>
        <w:spacing w:after="0"/>
        <w:jc w:val="center"/>
        <w:rPr>
          <w:bCs/>
          <w:sz w:val="28"/>
          <w:szCs w:val="28"/>
          <w:rtl/>
          <w:lang w:val="fr-FR"/>
        </w:rPr>
      </w:pPr>
      <w:r w:rsidRPr="00D73258">
        <w:rPr>
          <w:rFonts w:hint="cs"/>
          <w:bCs/>
          <w:sz w:val="28"/>
          <w:szCs w:val="28"/>
          <w:rtl/>
          <w:lang w:val="fr-FR"/>
        </w:rPr>
        <w:t>الثلاثاء 2 يوليوز بمقر مجلس الجالية المغربية بالخارج بالرباط</w:t>
      </w:r>
    </w:p>
    <w:p w:rsidR="00D947A7" w:rsidRPr="00D73258" w:rsidRDefault="00D947A7" w:rsidP="00D73258">
      <w:pPr>
        <w:autoSpaceDE w:val="0"/>
        <w:autoSpaceDN w:val="0"/>
        <w:bidi/>
        <w:adjustRightInd w:val="0"/>
        <w:spacing w:after="0"/>
        <w:jc w:val="both"/>
        <w:rPr>
          <w:b/>
          <w:sz w:val="24"/>
          <w:szCs w:val="24"/>
          <w:rtl/>
          <w:lang w:val="fr-FR"/>
        </w:rPr>
      </w:pPr>
    </w:p>
    <w:p w:rsidR="00156CF7" w:rsidRPr="00D73258" w:rsidRDefault="00DF4296" w:rsidP="00DF4296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rtl/>
          <w:lang w:val="fr-FR"/>
        </w:rPr>
      </w:pPr>
      <w:r>
        <w:rPr>
          <w:rFonts w:hint="cs"/>
          <w:b/>
          <w:sz w:val="24"/>
          <w:szCs w:val="24"/>
          <w:rtl/>
          <w:lang w:val="fr-FR"/>
        </w:rPr>
        <w:t>يقدم</w:t>
      </w:r>
      <w:r w:rsidR="00362701" w:rsidRPr="00D73258">
        <w:rPr>
          <w:rFonts w:hint="cs"/>
          <w:b/>
          <w:sz w:val="24"/>
          <w:szCs w:val="24"/>
          <w:rtl/>
          <w:lang w:val="fr-FR"/>
        </w:rPr>
        <w:t xml:space="preserve"> مجلس الجالية المغربية بالخارج والمعهد البريطاني للبحث حول السياسات العمومية دراستين تم إنجازهما في إطار مشروع 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 xml:space="preserve"> "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أبعد</w:t>
      </w:r>
      <w:r w:rsidR="00D947A7"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من</w:t>
      </w:r>
      <w:r w:rsidR="00D947A7"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الوضعية</w:t>
      </w:r>
      <w:r w:rsidR="00D947A7"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غير</w:t>
      </w:r>
      <w:r w:rsidR="00D947A7"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القانونية</w:t>
      </w:r>
      <w:r w:rsidR="00D947A7" w:rsidRPr="00D73258">
        <w:rPr>
          <w:rFonts w:cs="Arial"/>
          <w:bCs/>
          <w:sz w:val="24"/>
          <w:szCs w:val="24"/>
          <w:lang w:val="fr-FR"/>
        </w:rPr>
        <w:t xml:space="preserve"> </w:t>
      </w:r>
      <w:r w:rsidR="00362701" w:rsidRPr="00D73258">
        <w:rPr>
          <w:rFonts w:cs="Arial"/>
          <w:bCs/>
          <w:sz w:val="24"/>
          <w:szCs w:val="24"/>
          <w:lang w:val="fr-FR"/>
        </w:rPr>
        <w:t>« Beyond Irregularity » </w:t>
      </w:r>
      <w:r w:rsidR="00D947A7" w:rsidRPr="00D73258">
        <w:rPr>
          <w:rFonts w:cs="Arial" w:hint="cs"/>
          <w:bCs/>
          <w:sz w:val="24"/>
          <w:szCs w:val="24"/>
          <w:rtl/>
          <w:lang w:val="fr-FR"/>
        </w:rPr>
        <w:t xml:space="preserve">"  </w:t>
      </w:r>
      <w:r w:rsidR="00362701" w:rsidRPr="00D73258">
        <w:rPr>
          <w:rFonts w:cs="Arial" w:hint="cs"/>
          <w:b/>
          <w:sz w:val="24"/>
          <w:szCs w:val="24"/>
          <w:rtl/>
          <w:lang w:val="fr-FR"/>
        </w:rPr>
        <w:t xml:space="preserve">بعنوان : "عودة المهاجرين في وضعية غير قانونية إلى المغرب" و"المهاجرون الأفارقة جنوب الصحراء </w:t>
      </w:r>
      <w:r>
        <w:rPr>
          <w:rFonts w:cs="Arial" w:hint="cs"/>
          <w:b/>
          <w:sz w:val="24"/>
          <w:szCs w:val="24"/>
          <w:rtl/>
          <w:lang w:val="fr-FR"/>
        </w:rPr>
        <w:t>في وضعية غير قانونية في المغرب"، وذلك يوم الاثنين فاتح يوليوز 2013 بمقر المجلس بالرباط.</w:t>
      </w:r>
    </w:p>
    <w:p w:rsidR="00D743F7" w:rsidRPr="00D73258" w:rsidRDefault="00D743F7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lang w:val="fr-FR"/>
        </w:rPr>
      </w:pPr>
    </w:p>
    <w:p w:rsidR="00C577C7" w:rsidRPr="00D73258" w:rsidRDefault="00156CF7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rtl/>
          <w:lang w:val="fr-FR"/>
        </w:rPr>
      </w:pPr>
      <w:r w:rsidRPr="00D73258">
        <w:rPr>
          <w:rFonts w:cs="Arial" w:hint="cs"/>
          <w:b/>
          <w:sz w:val="24"/>
          <w:szCs w:val="24"/>
          <w:rtl/>
          <w:lang w:val="fr-FR"/>
        </w:rPr>
        <w:t>يعتبر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مشروع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"</w:t>
      </w:r>
      <w:r w:rsidRPr="00D73258">
        <w:rPr>
          <w:rFonts w:cs="Arial"/>
          <w:b/>
          <w:sz w:val="24"/>
          <w:szCs w:val="24"/>
          <w:lang w:val="fr-FR"/>
        </w:rPr>
        <w:t>Beyond irregularity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"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 xml:space="preserve">الذي تم إعداده من طرف 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>والمعهد البريطاني للبحث حول السياسات العمومية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ب</w:t>
      </w:r>
      <w:r w:rsidRPr="00D73258">
        <w:rPr>
          <w:rFonts w:cs="Arial" w:hint="cs"/>
          <w:b/>
          <w:sz w:val="24"/>
          <w:szCs w:val="24"/>
          <w:rtl/>
          <w:lang w:val="fr-FR"/>
        </w:rPr>
        <w:t>شراكة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بين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مجلس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الجالية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المغربية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بالخارج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والعديد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من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المؤسسات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الدولية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مثل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: </w:t>
      </w:r>
      <w:r w:rsidRPr="00D73258">
        <w:rPr>
          <w:rFonts w:cs="Arial" w:hint="cs"/>
          <w:b/>
          <w:sz w:val="24"/>
          <w:szCs w:val="24"/>
          <w:rtl/>
          <w:lang w:val="fr-FR"/>
        </w:rPr>
        <w:t>معهد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الأبحاث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في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السياسات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العمومية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البريطاني،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ومركز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البحث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حول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الهجرة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بجامعة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سوسيكس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البريطانية،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ومركز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إيواء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النساء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بإيف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البريطانية،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والأرضية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الدولية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للتعاون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حول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المهاجرين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غير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القانونيين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البلجيكية،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ومركز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التنمية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والبحث</w:t>
      </w:r>
      <w:r w:rsidRPr="00D73258">
        <w:rPr>
          <w:rFonts w:cs="Arial"/>
          <w:b/>
          <w:sz w:val="24"/>
          <w:szCs w:val="24"/>
          <w:rtl/>
          <w:lang w:val="fr-FR"/>
        </w:rPr>
        <w:t xml:space="preserve"> </w:t>
      </w:r>
      <w:r w:rsidRPr="00D73258">
        <w:rPr>
          <w:rFonts w:cs="Arial" w:hint="cs"/>
          <w:b/>
          <w:sz w:val="24"/>
          <w:szCs w:val="24"/>
          <w:rtl/>
          <w:lang w:val="fr-FR"/>
        </w:rPr>
        <w:t>النيجيري</w:t>
      </w:r>
      <w:r w:rsidRPr="00D73258">
        <w:rPr>
          <w:rFonts w:cs="Arial"/>
          <w:b/>
          <w:sz w:val="24"/>
          <w:szCs w:val="24"/>
          <w:rtl/>
          <w:lang w:val="fr-FR"/>
        </w:rPr>
        <w:t>.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وقد ساهمت اللجنة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الأوروبية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في تمويل الجزء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الأكبر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من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 xml:space="preserve"> هذا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المشروع الذي انطلق في مارس 2011 وانتهى في يونيو 2013 بتنظيم ندوة دولية ببروكسيل يوم 14 يونيو من طرف اللجنة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الأوروبية</w:t>
      </w:r>
      <w:r w:rsidRPr="00D73258">
        <w:rPr>
          <w:rFonts w:cs="Arial" w:hint="cs"/>
          <w:b/>
          <w:sz w:val="24"/>
          <w:szCs w:val="24"/>
          <w:rtl/>
          <w:lang w:val="fr-FR"/>
        </w:rPr>
        <w:t>.</w:t>
      </w:r>
    </w:p>
    <w:p w:rsidR="00D743F7" w:rsidRPr="00D73258" w:rsidRDefault="00D743F7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rtl/>
          <w:lang w:val="fr-FR"/>
        </w:rPr>
      </w:pPr>
    </w:p>
    <w:p w:rsidR="00156CF7" w:rsidRPr="00D73258" w:rsidRDefault="00C577C7" w:rsidP="00D73258">
      <w:pPr>
        <w:autoSpaceDE w:val="0"/>
        <w:autoSpaceDN w:val="0"/>
        <w:bidi/>
        <w:adjustRightInd w:val="0"/>
        <w:spacing w:after="0"/>
        <w:jc w:val="both"/>
        <w:rPr>
          <w:b/>
          <w:sz w:val="24"/>
          <w:szCs w:val="24"/>
          <w:rtl/>
          <w:lang w:val="fr-FR"/>
        </w:rPr>
      </w:pPr>
      <w:r w:rsidRPr="00D73258">
        <w:rPr>
          <w:rFonts w:hint="cs"/>
          <w:b/>
          <w:sz w:val="24"/>
          <w:szCs w:val="24"/>
          <w:rtl/>
          <w:lang w:val="fr-FR"/>
        </w:rPr>
        <w:t xml:space="preserve">يهدف مشروع </w:t>
      </w:r>
      <w:r w:rsidR="00D947A7" w:rsidRPr="00D73258">
        <w:rPr>
          <w:rFonts w:cs="Arial"/>
          <w:bCs/>
          <w:sz w:val="24"/>
          <w:szCs w:val="24"/>
          <w:lang w:val="fr-FR"/>
        </w:rPr>
        <w:t>« Beyond Irregularity » </w:t>
      </w:r>
      <w:r w:rsidR="00D947A7" w:rsidRPr="00D73258">
        <w:rPr>
          <w:rFonts w:cs="Arial" w:hint="cs"/>
          <w:bCs/>
          <w:sz w:val="24"/>
          <w:szCs w:val="24"/>
          <w:rtl/>
          <w:lang w:val="fr-FR"/>
        </w:rPr>
        <w:t xml:space="preserve"> </w:t>
      </w:r>
      <w:r w:rsidRPr="00D73258">
        <w:rPr>
          <w:rFonts w:hint="cs"/>
          <w:b/>
          <w:sz w:val="24"/>
          <w:szCs w:val="24"/>
          <w:rtl/>
          <w:lang w:val="fr-FR"/>
        </w:rPr>
        <w:t>إلى توفير معرفة أفضل للسياق السوسيو-اقتصادي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 xml:space="preserve"> للمهاجرين في وضعية غير قانونية، ووضع تشخيص ل</w:t>
      </w:r>
      <w:r w:rsidRPr="00D73258">
        <w:rPr>
          <w:rFonts w:hint="cs"/>
          <w:b/>
          <w:sz w:val="24"/>
          <w:szCs w:val="24"/>
          <w:rtl/>
          <w:lang w:val="fr-FR"/>
        </w:rPr>
        <w:t>حاجيات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>هم، ول</w:t>
      </w:r>
      <w:r w:rsidRPr="00D73258">
        <w:rPr>
          <w:rFonts w:hint="cs"/>
          <w:b/>
          <w:sz w:val="24"/>
          <w:szCs w:val="24"/>
          <w:rtl/>
          <w:lang w:val="fr-FR"/>
        </w:rPr>
        <w:t>لخدمات الم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 xml:space="preserve">وضوعة رهن إشارة هؤلاء المهاجرين؛ حيث تم إعداد مجلة أدبية، </w:t>
      </w:r>
      <w:r w:rsidRPr="00D73258">
        <w:rPr>
          <w:rFonts w:hint="cs"/>
          <w:b/>
          <w:sz w:val="24"/>
          <w:szCs w:val="24"/>
          <w:rtl/>
          <w:lang w:val="fr-FR"/>
        </w:rPr>
        <w:t>و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>نظمت</w:t>
      </w:r>
      <w:r w:rsidR="00156CF7" w:rsidRPr="00D73258">
        <w:rPr>
          <w:rFonts w:hint="cs"/>
          <w:b/>
          <w:sz w:val="24"/>
          <w:szCs w:val="24"/>
          <w:rtl/>
          <w:lang w:val="fr-FR"/>
        </w:rPr>
        <w:t xml:space="preserve"> العديد من اللقاءات مع المهاجرين المنحدرين من دول إفريقيا جنوب الصحراء والمهاجرين المغاربة المتواجدين في وضعية غير قانونية خلال عودتهم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>،</w:t>
      </w:r>
      <w:r w:rsidR="00156CF7" w:rsidRPr="00D73258">
        <w:rPr>
          <w:rFonts w:hint="cs"/>
          <w:b/>
          <w:sz w:val="24"/>
          <w:szCs w:val="24"/>
          <w:rtl/>
          <w:lang w:val="fr-FR"/>
        </w:rPr>
        <w:t xml:space="preserve"> وكذا مع العديد من الفاعلين ال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>م</w:t>
      </w:r>
      <w:r w:rsidR="00156CF7" w:rsidRPr="00D73258">
        <w:rPr>
          <w:rFonts w:hint="cs"/>
          <w:b/>
          <w:sz w:val="24"/>
          <w:szCs w:val="24"/>
          <w:rtl/>
          <w:lang w:val="fr-FR"/>
        </w:rPr>
        <w:t>عنيين سواء العموميين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 xml:space="preserve"> منهم </w:t>
      </w:r>
      <w:r w:rsidR="00156CF7" w:rsidRPr="00D73258">
        <w:rPr>
          <w:rFonts w:hint="cs"/>
          <w:b/>
          <w:sz w:val="24"/>
          <w:szCs w:val="24"/>
          <w:rtl/>
          <w:lang w:val="fr-FR"/>
        </w:rPr>
        <w:t xml:space="preserve"> 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>أو</w:t>
      </w:r>
      <w:r w:rsidR="00156CF7" w:rsidRPr="00D73258">
        <w:rPr>
          <w:rFonts w:hint="cs"/>
          <w:b/>
          <w:sz w:val="24"/>
          <w:szCs w:val="24"/>
          <w:rtl/>
          <w:lang w:val="fr-FR"/>
        </w:rPr>
        <w:t xml:space="preserve"> الخواص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 xml:space="preserve">، </w:t>
      </w:r>
      <w:r w:rsidR="00156CF7" w:rsidRPr="00D73258">
        <w:rPr>
          <w:rFonts w:hint="cs"/>
          <w:b/>
          <w:sz w:val="24"/>
          <w:szCs w:val="24"/>
          <w:rtl/>
          <w:lang w:val="fr-FR"/>
        </w:rPr>
        <w:t xml:space="preserve"> ومع المجتمع المدني والمنظمات 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>الدولية. ومكن هذا المشروع من ا</w:t>
      </w:r>
      <w:r w:rsidR="00156CF7" w:rsidRPr="00D73258">
        <w:rPr>
          <w:rFonts w:hint="cs"/>
          <w:b/>
          <w:sz w:val="24"/>
          <w:szCs w:val="24"/>
          <w:rtl/>
          <w:lang w:val="fr-FR"/>
        </w:rPr>
        <w:t>لإحاطة بالإشكاليات الأساسية وأولويات الفاعلين المعنيين في قضية الهجرة غير القانونية في المغرب.</w:t>
      </w:r>
    </w:p>
    <w:p w:rsidR="00D743F7" w:rsidRPr="00D73258" w:rsidRDefault="00D743F7" w:rsidP="00D73258">
      <w:pPr>
        <w:autoSpaceDE w:val="0"/>
        <w:autoSpaceDN w:val="0"/>
        <w:bidi/>
        <w:adjustRightInd w:val="0"/>
        <w:spacing w:after="0"/>
        <w:jc w:val="both"/>
        <w:rPr>
          <w:b/>
          <w:sz w:val="24"/>
          <w:szCs w:val="24"/>
          <w:rtl/>
          <w:lang w:val="fr-FR"/>
        </w:rPr>
      </w:pPr>
    </w:p>
    <w:p w:rsidR="007400B0" w:rsidRPr="00D73258" w:rsidRDefault="009B1ADC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rtl/>
          <w:lang w:val="fr-FR"/>
        </w:rPr>
      </w:pPr>
      <w:r w:rsidRPr="00D73258">
        <w:rPr>
          <w:rFonts w:hint="cs"/>
          <w:b/>
          <w:sz w:val="24"/>
          <w:szCs w:val="24"/>
          <w:rtl/>
          <w:lang w:val="fr-FR"/>
        </w:rPr>
        <w:t xml:space="preserve">قامت 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>ال</w:t>
      </w:r>
      <w:r w:rsidRPr="00D73258">
        <w:rPr>
          <w:rFonts w:hint="cs"/>
          <w:b/>
          <w:sz w:val="24"/>
          <w:szCs w:val="24"/>
          <w:rtl/>
          <w:lang w:val="fr-FR"/>
        </w:rPr>
        <w:t>دراسة</w:t>
      </w:r>
      <w:r w:rsidR="00D947A7" w:rsidRPr="00D73258">
        <w:rPr>
          <w:rFonts w:hint="cs"/>
          <w:b/>
          <w:sz w:val="24"/>
          <w:szCs w:val="24"/>
          <w:rtl/>
          <w:lang w:val="fr-FR"/>
        </w:rPr>
        <w:t xml:space="preserve"> الأولى بعنوان</w:t>
      </w:r>
      <w:r w:rsidRPr="00D73258">
        <w:rPr>
          <w:rFonts w:hint="cs"/>
          <w:b/>
          <w:sz w:val="24"/>
          <w:szCs w:val="24"/>
          <w:rtl/>
          <w:lang w:val="fr-FR"/>
        </w:rPr>
        <w:t xml:space="preserve"> "عودة 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المهاجرين في وضعية غير قانونية إلى المغرب" بتحليل كيف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يمكن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ل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دول الأصل ودول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 xml:space="preserve">الهجرة  </w:t>
      </w:r>
      <w:r w:rsidRPr="00D73258">
        <w:rPr>
          <w:rFonts w:cs="Arial" w:hint="cs"/>
          <w:b/>
          <w:sz w:val="24"/>
          <w:szCs w:val="24"/>
          <w:rtl/>
          <w:lang w:val="fr-FR"/>
        </w:rPr>
        <w:t>تحسين طريقة التعامل مع إشكال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ية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الهجرة غير ا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لقانونية، باتباع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استراتيجية عودة وإعادة إدماج أكثر فاعلية.  واعتمادا على أبحاث كم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ية معمقة تم إنجازها مع مهاجرين ع</w:t>
      </w:r>
      <w:r w:rsidRPr="00D73258">
        <w:rPr>
          <w:rFonts w:cs="Arial" w:hint="cs"/>
          <w:b/>
          <w:sz w:val="24"/>
          <w:szCs w:val="24"/>
          <w:rtl/>
          <w:lang w:val="fr-FR"/>
        </w:rPr>
        <w:t>ائدين وفاعلين معنيين في المغرب، تقدم الدراسة معطيات جديدة حول تحفيزات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 xml:space="preserve"> العودة، كما 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تعرض </w:t>
      </w:r>
      <w:r w:rsidR="00E0471D" w:rsidRPr="00D73258">
        <w:rPr>
          <w:rFonts w:cs="Arial" w:hint="cs"/>
          <w:b/>
          <w:sz w:val="24"/>
          <w:szCs w:val="24"/>
          <w:rtl/>
          <w:lang w:val="fr-FR"/>
        </w:rPr>
        <w:t>الخطوات التي يجب اتباعها من أجل ضمان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>إجراءات عودة وإعادة اندماج</w:t>
      </w:r>
      <w:r w:rsidR="00E0471D" w:rsidRPr="00D73258">
        <w:rPr>
          <w:rFonts w:cs="Arial" w:hint="cs"/>
          <w:b/>
          <w:sz w:val="24"/>
          <w:szCs w:val="24"/>
          <w:rtl/>
          <w:lang w:val="fr-FR"/>
        </w:rPr>
        <w:t xml:space="preserve"> سلسة وفعالة وإنسانية ومستديمة على وجه الخصوص.</w:t>
      </w:r>
    </w:p>
    <w:p w:rsidR="00D743F7" w:rsidRPr="00D73258" w:rsidRDefault="00D743F7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rtl/>
          <w:lang w:val="fr-FR"/>
        </w:rPr>
      </w:pPr>
    </w:p>
    <w:p w:rsidR="00E0471D" w:rsidRPr="00D73258" w:rsidRDefault="00E0471D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rtl/>
          <w:lang w:val="fr-FR"/>
        </w:rPr>
      </w:pP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أما 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>ال</w:t>
      </w:r>
      <w:r w:rsidRPr="00D73258">
        <w:rPr>
          <w:rFonts w:cs="Arial" w:hint="cs"/>
          <w:b/>
          <w:sz w:val="24"/>
          <w:szCs w:val="24"/>
          <w:rtl/>
          <w:lang w:val="fr-FR"/>
        </w:rPr>
        <w:t>دراسة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 xml:space="preserve"> الثانية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>"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المهاجرون الأفارقة جنوب الصحراء في وضعية غير قانونية بالمغرب" فقد كان هدفها 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>الدفع بالنقاش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وتجاوز قضية المعرفة بخصوص كون المغرب مازال دولة عبور من عدمه.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 xml:space="preserve"> وركز هذا العمل، الذي جاء على شكل دراسة حالة، </w:t>
      </w:r>
      <w:r w:rsidRPr="00D73258">
        <w:rPr>
          <w:rFonts w:cs="Arial" w:hint="cs"/>
          <w:b/>
          <w:sz w:val="24"/>
          <w:szCs w:val="24"/>
          <w:rtl/>
          <w:lang w:val="fr-FR"/>
        </w:rPr>
        <w:t>على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 xml:space="preserve"> أثر الأشكال الجديدة لهجرة غير القانونية ولـ"</w:t>
      </w:r>
      <w:r w:rsidRPr="00D73258">
        <w:rPr>
          <w:rFonts w:cs="Arial" w:hint="cs"/>
          <w:b/>
          <w:sz w:val="24"/>
          <w:szCs w:val="24"/>
          <w:rtl/>
          <w:lang w:val="fr-FR"/>
        </w:rPr>
        <w:t>لعبور" وكذا ل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>ـ"ا</w:t>
      </w:r>
      <w:r w:rsidRPr="00D73258">
        <w:rPr>
          <w:rFonts w:cs="Arial" w:hint="cs"/>
          <w:b/>
          <w:sz w:val="24"/>
          <w:szCs w:val="24"/>
          <w:rtl/>
          <w:lang w:val="fr-FR"/>
        </w:rPr>
        <w:t>لاستقرار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>"</w:t>
      </w:r>
      <w:r w:rsidRPr="00D73258">
        <w:rPr>
          <w:rFonts w:cs="Arial" w:hint="cs"/>
          <w:b/>
          <w:sz w:val="24"/>
          <w:szCs w:val="24"/>
          <w:rtl/>
          <w:lang w:val="fr-FR"/>
        </w:rPr>
        <w:t xml:space="preserve"> بالمغرب سواء بالنسبة للفاعلين او بالنسبة للمهاجرين في وضعية غير 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>قانونية، و</w:t>
      </w:r>
      <w:r w:rsidRPr="00D73258">
        <w:rPr>
          <w:rFonts w:cs="Arial" w:hint="cs"/>
          <w:b/>
          <w:sz w:val="24"/>
          <w:szCs w:val="24"/>
          <w:rtl/>
          <w:lang w:val="fr-FR"/>
        </w:rPr>
        <w:t>ا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>لذين يواجهون العديد من الحواجز من اجل ا</w:t>
      </w:r>
      <w:r w:rsidRPr="00D73258">
        <w:rPr>
          <w:rFonts w:cs="Arial" w:hint="cs"/>
          <w:b/>
          <w:sz w:val="24"/>
          <w:szCs w:val="24"/>
          <w:rtl/>
          <w:lang w:val="fr-FR"/>
        </w:rPr>
        <w:t>لولوج إلى الخدمات الاجتماعية</w:t>
      </w:r>
      <w:r w:rsidR="00D947A7" w:rsidRPr="00D73258">
        <w:rPr>
          <w:rFonts w:cs="Arial" w:hint="cs"/>
          <w:b/>
          <w:sz w:val="24"/>
          <w:szCs w:val="24"/>
          <w:rtl/>
          <w:lang w:val="fr-FR"/>
        </w:rPr>
        <w:t xml:space="preserve"> الأساسية و</w:t>
      </w:r>
      <w:r w:rsidR="00D743F7" w:rsidRPr="00D73258">
        <w:rPr>
          <w:rFonts w:cs="Arial" w:hint="cs"/>
          <w:b/>
          <w:sz w:val="24"/>
          <w:szCs w:val="24"/>
          <w:rtl/>
          <w:lang w:val="fr-FR"/>
        </w:rPr>
        <w:t>أيضا من أجل اكتساب حقوقهم.</w:t>
      </w:r>
    </w:p>
    <w:p w:rsidR="00D743F7" w:rsidRPr="00D73258" w:rsidRDefault="00D743F7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rtl/>
          <w:lang w:val="fr-FR"/>
        </w:rPr>
      </w:pPr>
    </w:p>
    <w:p w:rsidR="00D947A7" w:rsidRPr="00D73258" w:rsidRDefault="00D947A7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sz w:val="24"/>
          <w:szCs w:val="24"/>
          <w:rtl/>
          <w:lang w:val="fr-FR"/>
        </w:rPr>
      </w:pPr>
    </w:p>
    <w:p w:rsidR="00E44BB9" w:rsidRPr="00D73258" w:rsidRDefault="00E44BB9" w:rsidP="00D73258">
      <w:pPr>
        <w:autoSpaceDE w:val="0"/>
        <w:autoSpaceDN w:val="0"/>
        <w:bidi/>
        <w:adjustRightInd w:val="0"/>
        <w:spacing w:after="0"/>
        <w:jc w:val="both"/>
        <w:rPr>
          <w:rFonts w:cs="Arial"/>
          <w:b/>
          <w:bCs/>
          <w:sz w:val="24"/>
          <w:szCs w:val="24"/>
          <w:lang w:val="fr-FR"/>
        </w:rPr>
      </w:pPr>
    </w:p>
    <w:p w:rsidR="002858CC" w:rsidRPr="00D73258" w:rsidRDefault="002858CC" w:rsidP="00D73258">
      <w:pPr>
        <w:bidi/>
        <w:jc w:val="both"/>
        <w:rPr>
          <w:rFonts w:ascii="Times New Roman" w:hAnsi="Times New Roman"/>
          <w:bCs/>
          <w:sz w:val="28"/>
          <w:szCs w:val="28"/>
          <w:lang w:val="fr-FR"/>
        </w:rPr>
      </w:pPr>
    </w:p>
    <w:sectPr w:rsidR="002858CC" w:rsidRPr="00D73258" w:rsidSect="00DE5D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D4" w:rsidRDefault="008D38D4" w:rsidP="00D3321E">
      <w:pPr>
        <w:spacing w:after="0" w:line="240" w:lineRule="auto"/>
      </w:pPr>
      <w:r>
        <w:separator/>
      </w:r>
    </w:p>
  </w:endnote>
  <w:endnote w:type="continuationSeparator" w:id="1">
    <w:p w:rsidR="008D38D4" w:rsidRDefault="008D38D4" w:rsidP="00D3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55" w:rsidRDefault="00D743F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2115820</wp:posOffset>
          </wp:positionH>
          <wp:positionV relativeFrom="paragraph">
            <wp:posOffset>-17780</wp:posOffset>
          </wp:positionV>
          <wp:extent cx="1695450" cy="762000"/>
          <wp:effectExtent l="1905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-12065</wp:posOffset>
          </wp:positionV>
          <wp:extent cx="1205865" cy="767080"/>
          <wp:effectExtent l="19050" t="0" r="0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-19050</wp:posOffset>
          </wp:positionV>
          <wp:extent cx="925195" cy="742950"/>
          <wp:effectExtent l="19050" t="0" r="8255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7455" w:rsidRDefault="007074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D4" w:rsidRDefault="008D38D4" w:rsidP="00D3321E">
      <w:pPr>
        <w:spacing w:after="0" w:line="240" w:lineRule="auto"/>
      </w:pPr>
      <w:r>
        <w:separator/>
      </w:r>
    </w:p>
  </w:footnote>
  <w:footnote w:type="continuationSeparator" w:id="1">
    <w:p w:rsidR="008D38D4" w:rsidRDefault="008D38D4" w:rsidP="00D3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55" w:rsidRDefault="00D743F7">
    <w:pPr>
      <w:pStyle w:val="En-tte"/>
      <w:rPr>
        <w:noProof/>
        <w:lang w:eastAsia="en-GB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-211455</wp:posOffset>
          </wp:positionV>
          <wp:extent cx="2307590" cy="722630"/>
          <wp:effectExtent l="1905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3286125</wp:posOffset>
          </wp:positionH>
          <wp:positionV relativeFrom="paragraph">
            <wp:posOffset>-142875</wp:posOffset>
          </wp:positionV>
          <wp:extent cx="1477645" cy="581025"/>
          <wp:effectExtent l="19050" t="0" r="8255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1803400</wp:posOffset>
          </wp:positionH>
          <wp:positionV relativeFrom="paragraph">
            <wp:posOffset>-230505</wp:posOffset>
          </wp:positionV>
          <wp:extent cx="1286510" cy="847725"/>
          <wp:effectExtent l="19050" t="0" r="889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5316220</wp:posOffset>
          </wp:positionH>
          <wp:positionV relativeFrom="paragraph">
            <wp:posOffset>-211455</wp:posOffset>
          </wp:positionV>
          <wp:extent cx="1219200" cy="828675"/>
          <wp:effectExtent l="1905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7455" w:rsidRDefault="00707455">
    <w:pPr>
      <w:pStyle w:val="En-tte"/>
      <w:rPr>
        <w:noProof/>
        <w:lang w:eastAsia="en-GB"/>
      </w:rPr>
    </w:pPr>
  </w:p>
  <w:p w:rsidR="00707455" w:rsidRPr="007C18FF" w:rsidRDefault="00707455">
    <w:pPr>
      <w:pStyle w:val="En-tte"/>
      <w:rPr>
        <w:noProof/>
        <w:sz w:val="18"/>
        <w:szCs w:val="18"/>
        <w:lang w:eastAsia="en-GB"/>
      </w:rPr>
    </w:pPr>
  </w:p>
  <w:p w:rsidR="00D743F7" w:rsidRDefault="00D743F7" w:rsidP="00D743F7">
    <w:pPr>
      <w:pStyle w:val="En-tte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DBB"/>
    <w:multiLevelType w:val="hybridMultilevel"/>
    <w:tmpl w:val="79FC299A"/>
    <w:lvl w:ilvl="0" w:tplc="08090003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1">
    <w:nsid w:val="0DE65EED"/>
    <w:multiLevelType w:val="hybridMultilevel"/>
    <w:tmpl w:val="096262C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653"/>
    <w:multiLevelType w:val="hybridMultilevel"/>
    <w:tmpl w:val="2724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61A51"/>
    <w:multiLevelType w:val="hybridMultilevel"/>
    <w:tmpl w:val="186A223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DF2F4E"/>
    <w:multiLevelType w:val="hybridMultilevel"/>
    <w:tmpl w:val="F8E2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07D2E"/>
    <w:multiLevelType w:val="hybridMultilevel"/>
    <w:tmpl w:val="FEB4D794"/>
    <w:lvl w:ilvl="0" w:tplc="8CE25D6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93CD5"/>
    <w:multiLevelType w:val="hybridMultilevel"/>
    <w:tmpl w:val="E7FC5C1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1E471A5"/>
    <w:multiLevelType w:val="hybridMultilevel"/>
    <w:tmpl w:val="2654AC78"/>
    <w:lvl w:ilvl="0" w:tplc="00B690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543C7"/>
    <w:multiLevelType w:val="hybridMultilevel"/>
    <w:tmpl w:val="D6C49B5C"/>
    <w:lvl w:ilvl="0" w:tplc="A3489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3F08FB"/>
    <w:multiLevelType w:val="hybridMultilevel"/>
    <w:tmpl w:val="69F8B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43E3E"/>
    <w:multiLevelType w:val="hybridMultilevel"/>
    <w:tmpl w:val="14DC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36C6"/>
    <w:multiLevelType w:val="hybridMultilevel"/>
    <w:tmpl w:val="228A4B3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A6F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A6702E"/>
    <w:multiLevelType w:val="hybridMultilevel"/>
    <w:tmpl w:val="CC3CA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1155F"/>
    <w:multiLevelType w:val="hybridMultilevel"/>
    <w:tmpl w:val="FEDC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96F30"/>
    <w:multiLevelType w:val="hybridMultilevel"/>
    <w:tmpl w:val="B308C76A"/>
    <w:lvl w:ilvl="0" w:tplc="00B690E6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A7342"/>
    <w:rsid w:val="00000712"/>
    <w:rsid w:val="00004B4C"/>
    <w:rsid w:val="000069E0"/>
    <w:rsid w:val="00012F68"/>
    <w:rsid w:val="00020434"/>
    <w:rsid w:val="00034007"/>
    <w:rsid w:val="000410A9"/>
    <w:rsid w:val="00046120"/>
    <w:rsid w:val="00051CA8"/>
    <w:rsid w:val="00053E5D"/>
    <w:rsid w:val="000653C0"/>
    <w:rsid w:val="00066761"/>
    <w:rsid w:val="00071AFC"/>
    <w:rsid w:val="00076DF1"/>
    <w:rsid w:val="00077556"/>
    <w:rsid w:val="0009296D"/>
    <w:rsid w:val="000A1C4B"/>
    <w:rsid w:val="000A25A6"/>
    <w:rsid w:val="000A7DDE"/>
    <w:rsid w:val="000B28E3"/>
    <w:rsid w:val="000B2B49"/>
    <w:rsid w:val="000C0BD2"/>
    <w:rsid w:val="000C3C1F"/>
    <w:rsid w:val="000C5DCE"/>
    <w:rsid w:val="000E01B2"/>
    <w:rsid w:val="000F1323"/>
    <w:rsid w:val="000F717B"/>
    <w:rsid w:val="00105A23"/>
    <w:rsid w:val="00112433"/>
    <w:rsid w:val="0011667E"/>
    <w:rsid w:val="00120074"/>
    <w:rsid w:val="00120649"/>
    <w:rsid w:val="0012132D"/>
    <w:rsid w:val="001271AF"/>
    <w:rsid w:val="00133FD1"/>
    <w:rsid w:val="00134270"/>
    <w:rsid w:val="001343D0"/>
    <w:rsid w:val="001377AD"/>
    <w:rsid w:val="00141401"/>
    <w:rsid w:val="0014244F"/>
    <w:rsid w:val="00142AF6"/>
    <w:rsid w:val="001523EC"/>
    <w:rsid w:val="00156CF7"/>
    <w:rsid w:val="00161CA2"/>
    <w:rsid w:val="00162899"/>
    <w:rsid w:val="00177499"/>
    <w:rsid w:val="00187384"/>
    <w:rsid w:val="001C2577"/>
    <w:rsid w:val="001D7B51"/>
    <w:rsid w:val="001E072F"/>
    <w:rsid w:val="001F2734"/>
    <w:rsid w:val="001F3B64"/>
    <w:rsid w:val="00204366"/>
    <w:rsid w:val="002173F7"/>
    <w:rsid w:val="00227F82"/>
    <w:rsid w:val="00233EE7"/>
    <w:rsid w:val="002343AD"/>
    <w:rsid w:val="00237C4F"/>
    <w:rsid w:val="00244C85"/>
    <w:rsid w:val="002503F2"/>
    <w:rsid w:val="00255A44"/>
    <w:rsid w:val="00262851"/>
    <w:rsid w:val="0028237F"/>
    <w:rsid w:val="002858CC"/>
    <w:rsid w:val="002914DF"/>
    <w:rsid w:val="0029595E"/>
    <w:rsid w:val="00297007"/>
    <w:rsid w:val="0029726B"/>
    <w:rsid w:val="002A229E"/>
    <w:rsid w:val="002A5345"/>
    <w:rsid w:val="002A5994"/>
    <w:rsid w:val="002C3330"/>
    <w:rsid w:val="002D339F"/>
    <w:rsid w:val="002D3726"/>
    <w:rsid w:val="002D4F19"/>
    <w:rsid w:val="002E7642"/>
    <w:rsid w:val="002F12EF"/>
    <w:rsid w:val="002F6C87"/>
    <w:rsid w:val="002F77C4"/>
    <w:rsid w:val="0030140F"/>
    <w:rsid w:val="00332580"/>
    <w:rsid w:val="0034411B"/>
    <w:rsid w:val="00355E22"/>
    <w:rsid w:val="00362701"/>
    <w:rsid w:val="00362799"/>
    <w:rsid w:val="00363E50"/>
    <w:rsid w:val="003651E9"/>
    <w:rsid w:val="00375259"/>
    <w:rsid w:val="00383C63"/>
    <w:rsid w:val="00390FB1"/>
    <w:rsid w:val="00393B30"/>
    <w:rsid w:val="0039639D"/>
    <w:rsid w:val="003977E8"/>
    <w:rsid w:val="003A3455"/>
    <w:rsid w:val="003A41D0"/>
    <w:rsid w:val="003B2175"/>
    <w:rsid w:val="003B43FC"/>
    <w:rsid w:val="003B4C77"/>
    <w:rsid w:val="003C1889"/>
    <w:rsid w:val="003C2710"/>
    <w:rsid w:val="003C5443"/>
    <w:rsid w:val="003C76A8"/>
    <w:rsid w:val="003D22F6"/>
    <w:rsid w:val="003D48C2"/>
    <w:rsid w:val="00407166"/>
    <w:rsid w:val="00407F22"/>
    <w:rsid w:val="00413821"/>
    <w:rsid w:val="004143E6"/>
    <w:rsid w:val="0042143C"/>
    <w:rsid w:val="004222E4"/>
    <w:rsid w:val="00454B64"/>
    <w:rsid w:val="0047553F"/>
    <w:rsid w:val="00486381"/>
    <w:rsid w:val="00496314"/>
    <w:rsid w:val="00497684"/>
    <w:rsid w:val="004A3943"/>
    <w:rsid w:val="004A5C50"/>
    <w:rsid w:val="004B3C8F"/>
    <w:rsid w:val="004B7F75"/>
    <w:rsid w:val="004C5BB1"/>
    <w:rsid w:val="004E23FA"/>
    <w:rsid w:val="004E305E"/>
    <w:rsid w:val="004E3DFD"/>
    <w:rsid w:val="004E6E99"/>
    <w:rsid w:val="004F256D"/>
    <w:rsid w:val="004F51C7"/>
    <w:rsid w:val="004F74E6"/>
    <w:rsid w:val="0050629F"/>
    <w:rsid w:val="00516D97"/>
    <w:rsid w:val="00524DBE"/>
    <w:rsid w:val="00531D49"/>
    <w:rsid w:val="00531EC1"/>
    <w:rsid w:val="00532692"/>
    <w:rsid w:val="00532FBB"/>
    <w:rsid w:val="0054033A"/>
    <w:rsid w:val="005458E8"/>
    <w:rsid w:val="00545FAB"/>
    <w:rsid w:val="00546E76"/>
    <w:rsid w:val="005523D2"/>
    <w:rsid w:val="00555842"/>
    <w:rsid w:val="0058144D"/>
    <w:rsid w:val="00582A2C"/>
    <w:rsid w:val="00585DBC"/>
    <w:rsid w:val="005A3A47"/>
    <w:rsid w:val="005D189D"/>
    <w:rsid w:val="005E1E92"/>
    <w:rsid w:val="005F49BD"/>
    <w:rsid w:val="005F5D35"/>
    <w:rsid w:val="00617AFE"/>
    <w:rsid w:val="00620D21"/>
    <w:rsid w:val="00651317"/>
    <w:rsid w:val="00653C60"/>
    <w:rsid w:val="006560F8"/>
    <w:rsid w:val="00656EE1"/>
    <w:rsid w:val="00667EA2"/>
    <w:rsid w:val="0067436B"/>
    <w:rsid w:val="00681582"/>
    <w:rsid w:val="006A7B5C"/>
    <w:rsid w:val="006C027D"/>
    <w:rsid w:val="006C1C20"/>
    <w:rsid w:val="006C3027"/>
    <w:rsid w:val="006D7C43"/>
    <w:rsid w:val="006F05F5"/>
    <w:rsid w:val="006F0673"/>
    <w:rsid w:val="006F6661"/>
    <w:rsid w:val="007027EE"/>
    <w:rsid w:val="00707455"/>
    <w:rsid w:val="00707C7A"/>
    <w:rsid w:val="00714386"/>
    <w:rsid w:val="007308B5"/>
    <w:rsid w:val="007400B0"/>
    <w:rsid w:val="00743A2A"/>
    <w:rsid w:val="00747E34"/>
    <w:rsid w:val="00752D00"/>
    <w:rsid w:val="007637F3"/>
    <w:rsid w:val="00764B24"/>
    <w:rsid w:val="00765987"/>
    <w:rsid w:val="00770B1B"/>
    <w:rsid w:val="00775D67"/>
    <w:rsid w:val="00794412"/>
    <w:rsid w:val="007974AA"/>
    <w:rsid w:val="00797F2C"/>
    <w:rsid w:val="007A4017"/>
    <w:rsid w:val="007A59C2"/>
    <w:rsid w:val="007B414E"/>
    <w:rsid w:val="007C18FF"/>
    <w:rsid w:val="007C4AFA"/>
    <w:rsid w:val="007D5C1F"/>
    <w:rsid w:val="007F101F"/>
    <w:rsid w:val="007F4440"/>
    <w:rsid w:val="008006F7"/>
    <w:rsid w:val="00806515"/>
    <w:rsid w:val="00816F77"/>
    <w:rsid w:val="008214B3"/>
    <w:rsid w:val="00827071"/>
    <w:rsid w:val="008333FB"/>
    <w:rsid w:val="008420D8"/>
    <w:rsid w:val="00846A5F"/>
    <w:rsid w:val="00854412"/>
    <w:rsid w:val="0086678A"/>
    <w:rsid w:val="00866B0F"/>
    <w:rsid w:val="008A2F6C"/>
    <w:rsid w:val="008B1CBC"/>
    <w:rsid w:val="008C3CB6"/>
    <w:rsid w:val="008D38D4"/>
    <w:rsid w:val="008E1383"/>
    <w:rsid w:val="00910D78"/>
    <w:rsid w:val="00917037"/>
    <w:rsid w:val="00922BA4"/>
    <w:rsid w:val="00923E6E"/>
    <w:rsid w:val="0094286A"/>
    <w:rsid w:val="009434D0"/>
    <w:rsid w:val="00946056"/>
    <w:rsid w:val="0095185F"/>
    <w:rsid w:val="00962C46"/>
    <w:rsid w:val="00966962"/>
    <w:rsid w:val="00972C51"/>
    <w:rsid w:val="00973D33"/>
    <w:rsid w:val="00976245"/>
    <w:rsid w:val="0098137A"/>
    <w:rsid w:val="00981D5F"/>
    <w:rsid w:val="0099034E"/>
    <w:rsid w:val="00991C3E"/>
    <w:rsid w:val="009967EA"/>
    <w:rsid w:val="009B1ADC"/>
    <w:rsid w:val="009C55B4"/>
    <w:rsid w:val="009D1047"/>
    <w:rsid w:val="009E582B"/>
    <w:rsid w:val="00A05BDC"/>
    <w:rsid w:val="00A10846"/>
    <w:rsid w:val="00A1241C"/>
    <w:rsid w:val="00A3273F"/>
    <w:rsid w:val="00A32935"/>
    <w:rsid w:val="00A408D3"/>
    <w:rsid w:val="00A461DD"/>
    <w:rsid w:val="00A54F88"/>
    <w:rsid w:val="00A6379A"/>
    <w:rsid w:val="00A64786"/>
    <w:rsid w:val="00A65235"/>
    <w:rsid w:val="00A65432"/>
    <w:rsid w:val="00A70979"/>
    <w:rsid w:val="00A73A7E"/>
    <w:rsid w:val="00A74CBC"/>
    <w:rsid w:val="00A77BF5"/>
    <w:rsid w:val="00AA57F0"/>
    <w:rsid w:val="00AC4ED5"/>
    <w:rsid w:val="00AD32E2"/>
    <w:rsid w:val="00B00BB0"/>
    <w:rsid w:val="00B06868"/>
    <w:rsid w:val="00B1397B"/>
    <w:rsid w:val="00B15DB5"/>
    <w:rsid w:val="00B23132"/>
    <w:rsid w:val="00B35F0E"/>
    <w:rsid w:val="00B517A4"/>
    <w:rsid w:val="00B660DA"/>
    <w:rsid w:val="00B7005F"/>
    <w:rsid w:val="00B812BD"/>
    <w:rsid w:val="00BA5969"/>
    <w:rsid w:val="00BA7AFE"/>
    <w:rsid w:val="00BB3AB9"/>
    <w:rsid w:val="00BB63E8"/>
    <w:rsid w:val="00BC1716"/>
    <w:rsid w:val="00BD7D82"/>
    <w:rsid w:val="00BE772B"/>
    <w:rsid w:val="00BF0D4A"/>
    <w:rsid w:val="00BF3E3C"/>
    <w:rsid w:val="00BF4017"/>
    <w:rsid w:val="00C062D9"/>
    <w:rsid w:val="00C133B2"/>
    <w:rsid w:val="00C2324D"/>
    <w:rsid w:val="00C33B79"/>
    <w:rsid w:val="00C4142D"/>
    <w:rsid w:val="00C45994"/>
    <w:rsid w:val="00C4663D"/>
    <w:rsid w:val="00C50662"/>
    <w:rsid w:val="00C535FE"/>
    <w:rsid w:val="00C577C7"/>
    <w:rsid w:val="00C57B2F"/>
    <w:rsid w:val="00C62672"/>
    <w:rsid w:val="00C71D3E"/>
    <w:rsid w:val="00C779A8"/>
    <w:rsid w:val="00C8160B"/>
    <w:rsid w:val="00C81B7F"/>
    <w:rsid w:val="00CB3208"/>
    <w:rsid w:val="00CB4B67"/>
    <w:rsid w:val="00CC213D"/>
    <w:rsid w:val="00CC225A"/>
    <w:rsid w:val="00CC6BA5"/>
    <w:rsid w:val="00CD0A3A"/>
    <w:rsid w:val="00CE6C1D"/>
    <w:rsid w:val="00CF7040"/>
    <w:rsid w:val="00D0301C"/>
    <w:rsid w:val="00D07B96"/>
    <w:rsid w:val="00D1023E"/>
    <w:rsid w:val="00D23F6D"/>
    <w:rsid w:val="00D253E8"/>
    <w:rsid w:val="00D3321E"/>
    <w:rsid w:val="00D36CDE"/>
    <w:rsid w:val="00D40BCA"/>
    <w:rsid w:val="00D50DDE"/>
    <w:rsid w:val="00D52FC0"/>
    <w:rsid w:val="00D56C53"/>
    <w:rsid w:val="00D73258"/>
    <w:rsid w:val="00D743F7"/>
    <w:rsid w:val="00D947A7"/>
    <w:rsid w:val="00D94B48"/>
    <w:rsid w:val="00DA1504"/>
    <w:rsid w:val="00DB5413"/>
    <w:rsid w:val="00DC0AEC"/>
    <w:rsid w:val="00DC29F8"/>
    <w:rsid w:val="00DD461B"/>
    <w:rsid w:val="00DD74D4"/>
    <w:rsid w:val="00DE5D60"/>
    <w:rsid w:val="00DF4296"/>
    <w:rsid w:val="00E00114"/>
    <w:rsid w:val="00E0471D"/>
    <w:rsid w:val="00E0480B"/>
    <w:rsid w:val="00E144CB"/>
    <w:rsid w:val="00E17E85"/>
    <w:rsid w:val="00E23E8A"/>
    <w:rsid w:val="00E27B84"/>
    <w:rsid w:val="00E306BB"/>
    <w:rsid w:val="00E44BB9"/>
    <w:rsid w:val="00E517D2"/>
    <w:rsid w:val="00E60D66"/>
    <w:rsid w:val="00E76151"/>
    <w:rsid w:val="00E77827"/>
    <w:rsid w:val="00EA3B84"/>
    <w:rsid w:val="00EA6BA2"/>
    <w:rsid w:val="00EA7342"/>
    <w:rsid w:val="00EA7435"/>
    <w:rsid w:val="00EA7D23"/>
    <w:rsid w:val="00EC032E"/>
    <w:rsid w:val="00EE57DD"/>
    <w:rsid w:val="00EE6FDE"/>
    <w:rsid w:val="00EF70A7"/>
    <w:rsid w:val="00EF74B3"/>
    <w:rsid w:val="00F01DAC"/>
    <w:rsid w:val="00F1567B"/>
    <w:rsid w:val="00F22B81"/>
    <w:rsid w:val="00F302B1"/>
    <w:rsid w:val="00F342BE"/>
    <w:rsid w:val="00F44E3D"/>
    <w:rsid w:val="00F47B3F"/>
    <w:rsid w:val="00F512C9"/>
    <w:rsid w:val="00F52757"/>
    <w:rsid w:val="00F66F09"/>
    <w:rsid w:val="00F670AC"/>
    <w:rsid w:val="00F73A5E"/>
    <w:rsid w:val="00F752B3"/>
    <w:rsid w:val="00F87F60"/>
    <w:rsid w:val="00FA4C43"/>
    <w:rsid w:val="00FB1B4E"/>
    <w:rsid w:val="00FC0856"/>
    <w:rsid w:val="00FF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6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A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59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3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32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3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3321E"/>
    <w:rPr>
      <w:rFonts w:cs="Times New Roman"/>
    </w:rPr>
  </w:style>
  <w:style w:type="character" w:styleId="lev">
    <w:name w:val="Strong"/>
    <w:basedOn w:val="Policepardfaut"/>
    <w:uiPriority w:val="99"/>
    <w:qFormat/>
    <w:locked/>
    <w:rsid w:val="00531D49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B660DA"/>
    <w:rPr>
      <w:color w:val="0000FF"/>
      <w:u w:val="single"/>
    </w:rPr>
  </w:style>
  <w:style w:type="paragraph" w:customStyle="1" w:styleId="Default">
    <w:name w:val="Default"/>
    <w:rsid w:val="00C816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SV" w:eastAsia="es-SV"/>
    </w:rPr>
  </w:style>
  <w:style w:type="paragraph" w:styleId="Paragraphedeliste">
    <w:name w:val="List Paragraph"/>
    <w:basedOn w:val="Normal"/>
    <w:uiPriority w:val="34"/>
    <w:qFormat/>
    <w:rsid w:val="00C8160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">
    <w:name w:val="st"/>
    <w:basedOn w:val="Policepardfaut"/>
    <w:rsid w:val="00496314"/>
  </w:style>
  <w:style w:type="paragraph" w:styleId="Textebrut">
    <w:name w:val="Plain Text"/>
    <w:basedOn w:val="Normal"/>
    <w:link w:val="TextebrutCar"/>
    <w:uiPriority w:val="99"/>
    <w:unhideWhenUsed/>
    <w:rsid w:val="00C2324D"/>
    <w:pPr>
      <w:spacing w:after="0" w:line="240" w:lineRule="auto"/>
    </w:pPr>
    <w:rPr>
      <w:rFonts w:ascii="Consolas" w:hAnsi="Consolas" w:cs="Arial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C2324D"/>
    <w:rPr>
      <w:rFonts w:ascii="Consolas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C98B-9EC2-4B26-B5CB-C1F7A24B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Au-delà de l’irrégularité: une approche soutenable pour la gestion de la migration irrégulière provenant de l’Afrique Subsaharienne vers l’Europe</vt:lpstr>
      <vt:lpstr>Au-delà de l’irrégularité: une approche soutenable pour la gestion de la migration irrégulière provenant de l’Afrique Subsaharienne vers l’Europe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Au-delà de l’irrégularité: une approche soutenable pour la gestion de la migration irrégulière provenant de l’Afrique Subsaharienne vers l’Europe</dc:title>
  <dc:subject/>
  <dc:creator>Eliza Galos</dc:creator>
  <cp:keywords/>
  <dc:description/>
  <cp:lastModifiedBy>m.saibari</cp:lastModifiedBy>
  <cp:revision>2</cp:revision>
  <cp:lastPrinted>2013-06-25T13:51:00Z</cp:lastPrinted>
  <dcterms:created xsi:type="dcterms:W3CDTF">2013-06-28T10:09:00Z</dcterms:created>
  <dcterms:modified xsi:type="dcterms:W3CDTF">2013-06-28T10:09:00Z</dcterms:modified>
</cp:coreProperties>
</file>